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1B73" w14:textId="1546CAF3" w:rsidR="00EE2735" w:rsidRDefault="00D8428F" w:rsidP="00D842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Pr="00D8428F">
        <w:rPr>
          <w:rFonts w:ascii="Arial" w:hAnsi="Arial" w:cs="Arial"/>
          <w:b/>
          <w:bCs/>
        </w:rPr>
        <w:t>zasadnienie</w:t>
      </w:r>
    </w:p>
    <w:p w14:paraId="06BC51DE" w14:textId="7EBD059B" w:rsidR="00D8428F" w:rsidRPr="00D8428F" w:rsidRDefault="00D8428F" w:rsidP="00D8428F">
      <w:pPr>
        <w:ind w:firstLine="708"/>
        <w:jc w:val="both"/>
        <w:rPr>
          <w:rFonts w:ascii="Arial" w:hAnsi="Arial" w:cs="Arial"/>
        </w:rPr>
      </w:pPr>
      <w:r w:rsidRPr="00D8428F">
        <w:rPr>
          <w:rFonts w:ascii="Arial" w:hAnsi="Arial" w:cs="Arial"/>
        </w:rPr>
        <w:t>Na podstawie art. 5 ustawy z dnia 12 stycznia 1991 r. o podatkach i</w:t>
      </w:r>
      <w:r>
        <w:rPr>
          <w:rFonts w:ascii="Arial" w:hAnsi="Arial" w:cs="Arial"/>
        </w:rPr>
        <w:t> </w:t>
      </w:r>
      <w:r w:rsidRPr="00D8428F">
        <w:rPr>
          <w:rFonts w:ascii="Arial" w:hAnsi="Arial" w:cs="Arial"/>
        </w:rPr>
        <w:t>opłatach</w:t>
      </w:r>
      <w:r>
        <w:rPr>
          <w:rFonts w:ascii="Arial" w:hAnsi="Arial" w:cs="Arial"/>
        </w:rPr>
        <w:t> </w:t>
      </w:r>
      <w:r w:rsidRPr="00D8428F">
        <w:rPr>
          <w:rFonts w:ascii="Arial" w:hAnsi="Arial" w:cs="Arial"/>
        </w:rPr>
        <w:t>lokalnych rada gminy jest zobowiązana do określenia wysokości stawek podatku od</w:t>
      </w:r>
      <w:r>
        <w:rPr>
          <w:rFonts w:ascii="Arial" w:hAnsi="Arial" w:cs="Arial"/>
        </w:rPr>
        <w:t> </w:t>
      </w:r>
      <w:r w:rsidRPr="00D8428F">
        <w:rPr>
          <w:rFonts w:ascii="Arial" w:hAnsi="Arial" w:cs="Arial"/>
        </w:rPr>
        <w:t>nieruchomości, przy czym stawki określone przez radę nie mogą przekroczyć stawek</w:t>
      </w:r>
      <w:r>
        <w:rPr>
          <w:rFonts w:ascii="Arial" w:hAnsi="Arial" w:cs="Arial"/>
        </w:rPr>
        <w:t> </w:t>
      </w:r>
      <w:r w:rsidRPr="00D8428F">
        <w:rPr>
          <w:rFonts w:ascii="Arial" w:hAnsi="Arial" w:cs="Arial"/>
        </w:rPr>
        <w:t>maksymalnych ustalonych w/w ustawą.</w:t>
      </w:r>
    </w:p>
    <w:p w14:paraId="54F030BB" w14:textId="58985AB6" w:rsidR="00D8428F" w:rsidRDefault="00D8428F" w:rsidP="00D842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Projekt uchwały w sprawie stawek podatku od nieruchomości na rok 2026 przewiduje wzrost stawek o 4,16 % w porównaniu do roku 2025.</w:t>
      </w:r>
    </w:p>
    <w:p w14:paraId="40B7E658" w14:textId="00264E59" w:rsidR="00D8428F" w:rsidRDefault="00D8428F" w:rsidP="00D8428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Proponowane stawki podatku nie przekraczają granicy górnych stawek kwotowych podanych w obwieszczeniu Ministra Finansów z dnia 1 sierpnia 2025r. w sprawie górnych granic stawek kwotowych podatków i opłat lokalnych na rok 2026 (M.P. z 2025r., poz. 726)</w:t>
      </w:r>
    </w:p>
    <w:p w14:paraId="41BAEEEA" w14:textId="10792C3F" w:rsidR="00D8428F" w:rsidRPr="00D8428F" w:rsidRDefault="00D8428F" w:rsidP="00D842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podjęcie przedmiotowej uchwały jest uzasadnione.</w:t>
      </w:r>
    </w:p>
    <w:sectPr w:rsidR="00D8428F" w:rsidRPr="00D8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8F"/>
    <w:rsid w:val="000B7768"/>
    <w:rsid w:val="000D60A3"/>
    <w:rsid w:val="00145929"/>
    <w:rsid w:val="006F4A87"/>
    <w:rsid w:val="00CB5997"/>
    <w:rsid w:val="00D8428F"/>
    <w:rsid w:val="00EE2735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5EBE"/>
  <w15:chartTrackingRefBased/>
  <w15:docId w15:val="{CCEC5759-6AC0-4FEF-AB6B-605FFA35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4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2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2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2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2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2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2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2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2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2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2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2</cp:revision>
  <dcterms:created xsi:type="dcterms:W3CDTF">2025-11-05T07:57:00Z</dcterms:created>
  <dcterms:modified xsi:type="dcterms:W3CDTF">2025-11-05T07:57:00Z</dcterms:modified>
</cp:coreProperties>
</file>